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Реализация в ДОУ современных подходов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 художественно-эстетическому развитию детей 2-7 лет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Целевая аудитория: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предназначена для воспитателей ДОУ, методистов и старших воспитателей ДОУ, педагогов коммерческих центров развития ребенка, педагогов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работающих с дошкольниками.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в ДОУ современных подходов к художественно-эстетическому развитию детей 2-7 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профессионального мастерства слушателей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художественно-эстетического развития детей дошкольного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знания об особенностях изобразительной деятельности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углубление представлений слушателей курсов повышения квалификации о современных методах и приемах организации художественной деятельности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представлений и знаний слушателей о художественно-эстетическом развитии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организовывать непосредственно-образовательную деятельность по обучению дошкольников декоративному рисованию, лепке, аппликации.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 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Тематический план повышения квалификации с распределением по темам</w:t>
      </w:r>
    </w:p>
    <w:tbl>
      <w:tblPr/>
      <w:tblGrid>
        <w:gridCol w:w="773"/>
        <w:gridCol w:w="7241"/>
        <w:gridCol w:w="1461"/>
      </w:tblGrid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Основы художественно-эстетического развития детей дошкольного возраста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детей дошкольного возраста в изобразительной деятельности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Становление эстетического воспитания детей 2-7 лет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Сущность художественно-эстетического развития и воспитания дошкольников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Непосредственно-образовательная деятельность по обучению дошкольников декоративному рисованию, лепке, аппликации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Непосредственно-образовательная деятельность по обучению дошкольников декоративному рисованию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Непосредственно-образовательная деятельность по обучению дошкольников лепке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Непосредственно-образовательная деятельность по обучению дошкольников аппликации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Народное искусство и художественно-эстетическое развитие дошкольников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Декоративное творчество в художественно-эстетическом развитии дошкольников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 воспитание детей дошкольного возраста средствами народного декоративно-прикладного искусства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освоения народного-декоративно-прикладного искусства дошкольниками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4. Художественный труд в детском саду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младшей группе детского сада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средней группе детского сада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старшей группе детского сада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подготовительной группе детского сада</w:t>
            </w:r>
          </w:p>
        </w:tc>
        <w:tc>
          <w:tcPr>
            <w:tcW w:w="14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6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6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2">
    <w:abstractNumId w:val="12"/>
  </w:num>
  <w:num w:numId="64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2380343-kursy-povysheniya-kvalifikatsii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sispp.tiu.ru/g6629278-dopolnitelnoe-obrazovanie" Id="docRId2" Type="http://schemas.openxmlformats.org/officeDocument/2006/relationships/hyperlink"/><Relationship Target="numbering.xml" Id="docRId4" Type="http://schemas.openxmlformats.org/officeDocument/2006/relationships/numbering"/></Relationships>
</file>